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032CF" w14:textId="77777777" w:rsidR="004D07AE" w:rsidRDefault="004D07AE">
      <w:pPr>
        <w:pStyle w:val="ac"/>
        <w:rPr>
          <w:rFonts w:asciiTheme="minorEastAsia" w:hAnsiTheme="minorEastAsia"/>
          <w:noProof/>
        </w:rPr>
      </w:pPr>
    </w:p>
    <w:p w14:paraId="48EA1733" w14:textId="77777777" w:rsidR="004D07AE" w:rsidRDefault="00AA0A79">
      <w:pPr>
        <w:pStyle w:val="ac"/>
        <w:rPr>
          <w:rFonts w:asciiTheme="minorEastAsia" w:hAnsiTheme="minorEastAsia"/>
          <w:sz w:val="56"/>
          <w:szCs w:val="56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hidden="0" allowOverlap="1" wp14:anchorId="126919AB" wp14:editId="650A8299">
                <wp:simplePos x="0" y="0"/>
                <wp:positionH relativeFrom="column">
                  <wp:posOffset>684530</wp:posOffset>
                </wp:positionH>
                <wp:positionV relativeFrom="paragraph">
                  <wp:posOffset>910069</wp:posOffset>
                </wp:positionV>
                <wp:extent cx="4780915" cy="952500"/>
                <wp:effectExtent l="0" t="0" r="0" b="0"/>
                <wp:wrapTopAndBottom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09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43891">
                          <a:solidFill>
                            <a:srgbClr val="437FC1"/>
                          </a:solidFill>
                          <a:miter lim="800000"/>
                        </a:ln>
                      </wps:spPr>
                      <wps:txbx>
                        <w:txbxContent>
                          <w:p w14:paraId="4685502A" w14:textId="77777777" w:rsidR="004D07AE" w:rsidRDefault="00AA0A79">
                            <w:pPr>
                              <w:pStyle w:val="a8"/>
                              <w:wordWrap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eastAsia="바탕" w:hAnsi="바탕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수수료부과</w:t>
                            </w:r>
                            <w:r>
                              <w:rPr>
                                <w:rFonts w:eastAsia="바탕" w:hAnsi="바탕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기준 및 절차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919AB" id="shape1025" o:spid="_x0000_s1026" style="position:absolute;left:0;text-align:left;margin-left:53.9pt;margin-top:71.65pt;width:376.45pt;height: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" strokecolor="#437fc1" strokeweight="11.33pt">
                <v:path arrowok="t"/>
                <v:textbox>
                  <w:txbxContent>
                    <w:p w14:paraId="4685502A" w14:textId="77777777" w:rsidR="004D07AE" w:rsidRDefault="00AA0A79">
                      <w:pPr>
                        <w:pStyle w:val="a8"/>
                        <w:wordWrap/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rFonts w:eastAsia="바탕" w:hAnsi="바탕" w:hint="eastAsia"/>
                          <w:b/>
                          <w:bCs/>
                          <w:sz w:val="60"/>
                          <w:szCs w:val="60"/>
                        </w:rPr>
                        <w:t>수수료부과</w:t>
                      </w:r>
                      <w:r>
                        <w:rPr>
                          <w:rFonts w:eastAsia="바탕" w:hAnsi="바탕"/>
                          <w:b/>
                          <w:bCs/>
                          <w:sz w:val="60"/>
                          <w:szCs w:val="60"/>
                        </w:rPr>
                        <w:t xml:space="preserve"> 기준 및 절차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788DDDC" w14:textId="77777777" w:rsidR="004D07AE" w:rsidRDefault="004D07AE">
      <w:pPr>
        <w:jc w:val="center"/>
        <w:rPr>
          <w:rFonts w:asciiTheme="minorEastAsia" w:hAnsiTheme="minorEastAsia"/>
          <w:b/>
          <w:sz w:val="56"/>
          <w:szCs w:val="56"/>
        </w:rPr>
      </w:pPr>
    </w:p>
    <w:p w14:paraId="38B43510" w14:textId="77777777" w:rsidR="004D07AE" w:rsidRDefault="004D07AE">
      <w:pPr>
        <w:jc w:val="center"/>
        <w:rPr>
          <w:rFonts w:asciiTheme="minorEastAsia" w:hAnsiTheme="minorEastAsia"/>
          <w:b/>
          <w:sz w:val="56"/>
          <w:szCs w:val="56"/>
        </w:rPr>
      </w:pPr>
    </w:p>
    <w:p w14:paraId="74646F1E" w14:textId="77777777" w:rsidR="004D07AE" w:rsidRDefault="004D07AE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4C07B69A" w14:textId="77777777" w:rsidR="004D07AE" w:rsidRDefault="004D07AE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5EF51094" w14:textId="77777777" w:rsidR="004D07AE" w:rsidRDefault="004D07AE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7A89E769" w14:textId="77777777" w:rsidR="004D07AE" w:rsidRDefault="004D07AE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177FABB2" w14:textId="77777777" w:rsidR="004D07AE" w:rsidRDefault="004D07AE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17EA8B95" w14:textId="77777777" w:rsidR="004D07AE" w:rsidRDefault="004D07AE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1BF98449" w14:textId="77777777" w:rsidR="004D07AE" w:rsidRDefault="004D07AE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4E549DFD" w14:textId="77777777" w:rsidR="004D07AE" w:rsidRDefault="004D07AE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1F3DD8F7" w14:textId="77777777" w:rsidR="004D07AE" w:rsidRDefault="004D07AE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22B93E58" w14:textId="77777777" w:rsidR="004D07AE" w:rsidRDefault="004D07AE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37997BCE" w14:textId="77777777" w:rsidR="004D07AE" w:rsidRDefault="004D07AE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162F4C67" w14:textId="77777777" w:rsidR="004D07AE" w:rsidRDefault="004D07AE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2F92D898" w14:textId="77777777" w:rsidR="004D07AE" w:rsidRDefault="00AA0A79">
      <w:pPr>
        <w:jc w:val="center"/>
        <w:rPr>
          <w:rFonts w:asciiTheme="minorEastAsia" w:hAnsiTheme="minorEastAsia"/>
          <w:b/>
          <w:sz w:val="56"/>
          <w:szCs w:val="36"/>
        </w:rPr>
      </w:pPr>
      <w:r>
        <w:rPr>
          <w:rFonts w:asciiTheme="minorEastAsia" w:hAnsiTheme="minorEastAsia"/>
          <w:b/>
          <w:sz w:val="48"/>
          <w:szCs w:val="28"/>
        </w:rPr>
        <w:t>㈜밸류시스템자산운용</w:t>
      </w:r>
    </w:p>
    <w:p w14:paraId="2F8C1C81" w14:textId="77777777" w:rsidR="004D07AE" w:rsidRDefault="00AA0A79">
      <w:pPr>
        <w:widowControl/>
        <w:wordWrap/>
        <w:autoSpaceDE/>
        <w:autoSpaceDN/>
        <w:jc w:val="left"/>
        <w:rPr>
          <w:rFonts w:asciiTheme="minorEastAsia" w:hAnsiTheme="minorEastAsia"/>
          <w:b/>
          <w:sz w:val="56"/>
          <w:szCs w:val="36"/>
        </w:rPr>
      </w:pPr>
      <w:r>
        <w:rPr>
          <w:rFonts w:asciiTheme="minorEastAsia" w:hAnsiTheme="minorEastAsia"/>
          <w:b/>
          <w:sz w:val="56"/>
          <w:szCs w:val="36"/>
        </w:rPr>
        <w:br w:type="page"/>
      </w:r>
    </w:p>
    <w:p w14:paraId="2D2E602C" w14:textId="77777777" w:rsidR="004D07AE" w:rsidRDefault="00AA0A7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lastRenderedPageBreak/>
        <w:t>수수료 부과기준 및 절차</w:t>
      </w:r>
    </w:p>
    <w:p w14:paraId="672C539F" w14:textId="77777777" w:rsidR="004D07AE" w:rsidRDefault="004D07AE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2A90DA39" w14:textId="77777777" w:rsidR="004D07AE" w:rsidRDefault="00AA0A7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제정 2011. 09. 15.</w:t>
      </w:r>
    </w:p>
    <w:p w14:paraId="12107FEC" w14:textId="77777777" w:rsidR="004D07AE" w:rsidRDefault="00AA0A7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개정 2014. 01. 10.</w:t>
      </w:r>
    </w:p>
    <w:p w14:paraId="1E083197" w14:textId="77777777" w:rsidR="004D07AE" w:rsidRDefault="00AA0A7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개정 2016. 12. 28.</w:t>
      </w:r>
    </w:p>
    <w:p w14:paraId="3B6331D1" w14:textId="77777777" w:rsidR="004D07AE" w:rsidRDefault="00AA0A7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개정 2024. 05. 21.</w:t>
      </w:r>
    </w:p>
    <w:p w14:paraId="677AEF19" w14:textId="77777777" w:rsidR="004D07AE" w:rsidRDefault="004D07AE">
      <w:pPr>
        <w:rPr>
          <w:rFonts w:asciiTheme="minorEastAsia" w:hAnsiTheme="minorEastAsia"/>
        </w:rPr>
      </w:pPr>
    </w:p>
    <w:p w14:paraId="7233798E" w14:textId="77777777" w:rsidR="004D07AE" w:rsidRDefault="00AA0A79">
      <w:pPr>
        <w:rPr>
          <w:rFonts w:asciiTheme="minorEastAsia" w:hAnsiTheme="minorEastAsia"/>
        </w:rPr>
      </w:pPr>
      <w:r>
        <w:rPr>
          <w:rFonts w:asciiTheme="minorEastAsia" w:hAnsiTheme="minorEastAsia"/>
          <w:b/>
        </w:rPr>
        <w:t xml:space="preserve">제1조(목적) </w:t>
      </w:r>
      <w:r>
        <w:rPr>
          <w:rFonts w:asciiTheme="minorEastAsia" w:hAnsiTheme="minorEastAsia"/>
        </w:rPr>
        <w:t>본 기준 및 절차는 『자본시장과 금융투자업에 관한 법률』 (이하 “법”이라 한다.) 제58조, 법 제47조 제1항 및 동법 시행령 제53조 제1항 제2호에 의거 주식회사 밸류시스템자산운용(이하 “회사”라 한다.)이 정당한 사유 없이 투자자를 차별하여 수수료 부과기준을 달리 적용하는 것을 방지하기 위하여 투자계약에 따른 수수료 부과기준 및 절차 등을 정함을 목적으로 한다.</w:t>
      </w:r>
    </w:p>
    <w:p w14:paraId="3BCB36DF" w14:textId="77777777" w:rsidR="004D07AE" w:rsidRDefault="004D07AE">
      <w:pPr>
        <w:rPr>
          <w:rFonts w:asciiTheme="minorEastAsia" w:hAnsiTheme="minorEastAsia"/>
        </w:rPr>
      </w:pPr>
    </w:p>
    <w:p w14:paraId="7E04CD45" w14:textId="77777777" w:rsidR="004D07AE" w:rsidRDefault="00AA0A79">
      <w:pPr>
        <w:rPr>
          <w:rFonts w:asciiTheme="minorEastAsia" w:hAnsiTheme="minorEastAsia"/>
          <w:bCs/>
        </w:rPr>
      </w:pPr>
      <w:r>
        <w:rPr>
          <w:rFonts w:asciiTheme="minorEastAsia" w:hAnsiTheme="minorEastAsia"/>
          <w:b/>
        </w:rPr>
        <w:t xml:space="preserve">제2조(적용범위) </w:t>
      </w:r>
      <w:r>
        <w:rPr>
          <w:rFonts w:asciiTheme="minorEastAsia" w:hAnsiTheme="minorEastAsia"/>
          <w:bCs/>
        </w:rPr>
        <w:t>투자자로부터 받는 수수료의 부과기준 및 절차에 관한 사항에 대하여 법, 법시행령, 법 시행규칙, 금융투자업규정 및 한국금융투자협회규정 등과 집합투자기구의 집합투자규약에서 정한 사항 이외에는 이 기준이 정하는 바에 따른다.</w:t>
      </w:r>
    </w:p>
    <w:p w14:paraId="1943BC1E" w14:textId="77777777" w:rsidR="004D07AE" w:rsidRDefault="004D07AE">
      <w:pPr>
        <w:rPr>
          <w:rFonts w:asciiTheme="minorEastAsia" w:hAnsiTheme="minorEastAsia"/>
        </w:rPr>
      </w:pPr>
    </w:p>
    <w:p w14:paraId="56947BAD" w14:textId="77777777" w:rsidR="004D07AE" w:rsidRDefault="00AA0A79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제3조(용어의 정의)</w:t>
      </w:r>
      <w:bookmarkStart w:id="0" w:name="_Hlk85917774"/>
    </w:p>
    <w:bookmarkEnd w:id="0"/>
    <w:p w14:paraId="19597F35" w14:textId="77777777" w:rsidR="004D07AE" w:rsidRDefault="00AA0A7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이 기준에서 “수수료”라 함은 집합투자기구 및 일임계약과 자문계약에 적용되는 투자자로부터 받는 각종 보수 및 수수료로서 아래 각호와 같이 구성된다..</w:t>
      </w:r>
    </w:p>
    <w:p w14:paraId="1971C230" w14:textId="77777777" w:rsidR="004D07AE" w:rsidRDefault="00AA0A79" w:rsidP="00B64224">
      <w:pPr>
        <w:ind w:leftChars="100" w:left="200"/>
        <w:rPr>
          <w:rFonts w:asciiTheme="minorEastAsia" w:hAnsiTheme="minorEastAsia"/>
          <w:spacing w:val="-2"/>
        </w:rPr>
      </w:pPr>
      <w:r>
        <w:rPr>
          <w:rFonts w:asciiTheme="minorEastAsia" w:hAnsiTheme="minorEastAsia"/>
          <w:spacing w:val="-2"/>
        </w:rPr>
        <w:t>1. 집합투자업자 보수 : 집합투자업자가 집합투자재산을 운용하는 대가로서 집합투자기구로부터 받는 보수</w:t>
      </w:r>
    </w:p>
    <w:p w14:paraId="3C336C2D" w14:textId="77777777" w:rsidR="004D07AE" w:rsidRDefault="00AA0A79" w:rsidP="00B64224">
      <w:pPr>
        <w:ind w:leftChars="100" w:left="200"/>
        <w:rPr>
          <w:rFonts w:asciiTheme="minorEastAsia" w:hAnsiTheme="minorEastAsia"/>
        </w:rPr>
      </w:pPr>
      <w:r>
        <w:rPr>
          <w:rFonts w:asciiTheme="minorEastAsia" w:hAnsiTheme="minorEastAsia"/>
        </w:rPr>
        <w:t>2. 판매보수 : 집합투자증권을 판매한 판매회사가 투자자에게 지속적으로 제공하는 용역의 대가로 집합투자기구로부터 받는 보수</w:t>
      </w:r>
    </w:p>
    <w:p w14:paraId="1BC9D1CB" w14:textId="77777777" w:rsidR="004D07AE" w:rsidRDefault="00AA0A79" w:rsidP="00B64224">
      <w:pPr>
        <w:ind w:leftChars="100" w:left="200"/>
        <w:rPr>
          <w:rFonts w:asciiTheme="minorEastAsia" w:hAnsiTheme="minorEastAsia"/>
        </w:rPr>
      </w:pPr>
      <w:r>
        <w:rPr>
          <w:rFonts w:asciiTheme="minorEastAsia" w:hAnsiTheme="minorEastAsia"/>
        </w:rPr>
        <w:t>3. 신탁업자 보수 : 집합투자기구의 신탁업자가 집합투자재산의 보관업무 등을 제공하는 대가로 집합투자기구로부터 받는 보수</w:t>
      </w:r>
    </w:p>
    <w:p w14:paraId="28820B40" w14:textId="77777777" w:rsidR="004D07AE" w:rsidRDefault="00AA0A79" w:rsidP="00B64224">
      <w:pPr>
        <w:ind w:leftChars="100" w:left="200"/>
        <w:rPr>
          <w:rFonts w:asciiTheme="minorEastAsia" w:hAnsiTheme="minorEastAsia"/>
        </w:rPr>
      </w:pPr>
      <w:r>
        <w:rPr>
          <w:rFonts w:asciiTheme="minorEastAsia" w:hAnsiTheme="minorEastAsia"/>
        </w:rPr>
        <w:t>4. 일반사무관리회사 보수 : 일반사무관리회사가 기준가격의 계산업무 등을 제공하는 대가로 집합투자기구로부터 받는 보수</w:t>
      </w:r>
    </w:p>
    <w:p w14:paraId="1FF65A10" w14:textId="77777777" w:rsidR="004D07AE" w:rsidRDefault="00AA0A79" w:rsidP="00B64224">
      <w:pPr>
        <w:ind w:leftChars="100" w:left="200"/>
        <w:rPr>
          <w:rFonts w:asciiTheme="minorEastAsia" w:hAnsiTheme="minorEastAsia"/>
        </w:rPr>
      </w:pPr>
      <w:r>
        <w:rPr>
          <w:rFonts w:asciiTheme="minorEastAsia" w:hAnsiTheme="minorEastAsia"/>
        </w:rPr>
        <w:t>5. 집합투자기구평가회사 보수 :집합투자기구평가회사가 집합투자재산의 평가 업무 등을 제공한 대가로 집합투자기구로부터 받는 보수</w:t>
      </w:r>
    </w:p>
    <w:p w14:paraId="48E9DA0D" w14:textId="77777777" w:rsidR="004D07AE" w:rsidRDefault="00AA0A79" w:rsidP="00B64224">
      <w:pPr>
        <w:ind w:leftChars="100" w:left="200"/>
        <w:rPr>
          <w:rFonts w:asciiTheme="minorEastAsia" w:hAnsiTheme="minorEastAsia"/>
        </w:rPr>
      </w:pPr>
      <w:r>
        <w:rPr>
          <w:rFonts w:asciiTheme="minorEastAsia" w:hAnsiTheme="minorEastAsia"/>
        </w:rPr>
        <w:t>6. 성과보수 : 집합투자기구의 운용실적에 연동하여 미리 정하여진 산정방식에 따라 집합투자기구로부터 집합투자업자가 받는 보수 (법 제 86 조, 법시행령 제 88 조 및 금융투자업규정 제 4-65 조에 해당하고 집합투자규약에 정의된 경우에만 수행가능) 수수료 부과 및 절차에 관한 기준</w:t>
      </w:r>
    </w:p>
    <w:p w14:paraId="4E5EEE14" w14:textId="77777777" w:rsidR="004D07AE" w:rsidRDefault="00AA0A79" w:rsidP="00B64224">
      <w:pPr>
        <w:ind w:leftChars="100" w:left="200"/>
        <w:rPr>
          <w:rFonts w:asciiTheme="minorEastAsia" w:hAnsiTheme="minorEastAsia"/>
        </w:rPr>
      </w:pPr>
      <w:r>
        <w:rPr>
          <w:rFonts w:asciiTheme="minorEastAsia" w:hAnsiTheme="minorEastAsia"/>
        </w:rPr>
        <w:t>7. 판매수수료 : 집합투자증권을 판매하는 행위에 대한 대가로 집합투자증권을 판매한 판매회사가 투자자로부터 직접 받는 수수료를 말하며 수수료 지불시점에 따라 선취판매수수료와 후취판매수수료로 구분</w:t>
      </w:r>
    </w:p>
    <w:p w14:paraId="2AE04870" w14:textId="77777777" w:rsidR="004D07AE" w:rsidRDefault="00AA0A79" w:rsidP="00B64224">
      <w:pPr>
        <w:ind w:leftChars="100" w:left="200"/>
        <w:rPr>
          <w:rFonts w:asciiTheme="minorEastAsia" w:hAnsiTheme="minorEastAsia"/>
        </w:rPr>
      </w:pPr>
      <w:r>
        <w:rPr>
          <w:rFonts w:asciiTheme="minorEastAsia" w:hAnsiTheme="minorEastAsia"/>
        </w:rPr>
        <w:t>8. 환매수수료 : 집합투자규약에서 정한 기간 이전에 펀드를 환매할 시 일정한 범칙금 형식으로 투자자에게 일회적으로 부과하는 수수료. 이는 펀드 운용의 안정성과 펀드 환매 시 소요되는 여러 비용을 감안하여 책정되며 부과된 수수료는 다시 펀드 재산에 편입됨</w:t>
      </w:r>
    </w:p>
    <w:p w14:paraId="7947BBFD" w14:textId="77777777" w:rsidR="004D07AE" w:rsidRDefault="00AA0A79" w:rsidP="00B64224">
      <w:pPr>
        <w:ind w:leftChars="200" w:left="400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9. 일임수수료 : 회사가 투자일임자산을 운용하는 대가로 투자자로부터 지급받는 수수료</w:t>
      </w:r>
    </w:p>
    <w:p w14:paraId="5003C7CE" w14:textId="77777777" w:rsidR="004D07AE" w:rsidRDefault="00AA0A79" w:rsidP="00B64224">
      <w:pPr>
        <w:ind w:leftChars="200" w:left="400"/>
        <w:rPr>
          <w:rFonts w:asciiTheme="minorEastAsia" w:hAnsiTheme="minorEastAsia"/>
        </w:rPr>
      </w:pPr>
      <w:r>
        <w:rPr>
          <w:rFonts w:asciiTheme="minorEastAsia" w:hAnsiTheme="minorEastAsia"/>
        </w:rPr>
        <w:t>10. 자문수수료 : 회사가 투자자의 자산운용을 위한 자문의 대가로 투자자로부터 지급받는 수수료</w:t>
      </w:r>
    </w:p>
    <w:p w14:paraId="3C14FD15" w14:textId="77777777" w:rsidR="004D07AE" w:rsidRDefault="00AA0A79" w:rsidP="00B64224">
      <w:pPr>
        <w:ind w:leftChars="200" w:left="400"/>
        <w:rPr>
          <w:rFonts w:asciiTheme="minorEastAsia" w:hAnsiTheme="minorEastAsia"/>
        </w:rPr>
      </w:pPr>
      <w:r>
        <w:rPr>
          <w:rFonts w:asciiTheme="minorEastAsia" w:hAnsiTheme="minorEastAsia"/>
        </w:rPr>
        <w:t>11. 성과수수료 : 투자일임자산의 성과에 연동하며 미리 정해진 산정방식에 따라 투자자로부터 기본보수 외에 추가로 지급받는 수수료</w:t>
      </w:r>
    </w:p>
    <w:p w14:paraId="0C3DE0E7" w14:textId="77777777" w:rsidR="004D07AE" w:rsidRDefault="004D07AE">
      <w:pPr>
        <w:ind w:leftChars="142" w:left="284"/>
        <w:rPr>
          <w:rFonts w:asciiTheme="minorEastAsia" w:hAnsiTheme="minorEastAsia"/>
        </w:rPr>
      </w:pPr>
    </w:p>
    <w:p w14:paraId="3CE9C254" w14:textId="77777777" w:rsidR="004D07AE" w:rsidRDefault="00AA0A79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제4조(설명의무 등) </w:t>
      </w:r>
    </w:p>
    <w:p w14:paraId="3E7FC275" w14:textId="77777777" w:rsidR="003358EC" w:rsidRDefault="003358EC" w:rsidP="003358EC">
      <w:pPr>
        <w:pStyle w:val="a6"/>
        <w:numPr>
          <w:ilvl w:val="0"/>
          <w:numId w:val="1"/>
        </w:numPr>
        <w:ind w:leftChars="0"/>
        <w:rPr>
          <w:rFonts w:asciiTheme="minorEastAsia" w:hAnsiTheme="minorEastAsia"/>
          <w:bCs/>
        </w:rPr>
      </w:pPr>
      <w:r w:rsidRPr="003358EC">
        <w:rPr>
          <w:rFonts w:asciiTheme="minorEastAsia" w:hAnsiTheme="minorEastAsia" w:hint="eastAsia"/>
          <w:bCs/>
        </w:rPr>
        <w:t>회사는</w:t>
      </w:r>
      <w:r w:rsidRPr="003358EC">
        <w:rPr>
          <w:rFonts w:asciiTheme="minorEastAsia" w:hAnsiTheme="minorEastAsia"/>
          <w:bCs/>
        </w:rPr>
        <w:t xml:space="preserve"> 투자자를 상대로 투자일임계약을 체결하는 경우 법 제47조 제1항 및 동법 시행령 제53조 제1항 제2호에 의해 투자자가 이해할 수 있도록 수수료에 관한 사항을 설명하여야 한다.</w:t>
      </w:r>
    </w:p>
    <w:p w14:paraId="6DEAFBAA" w14:textId="0CDEAD06" w:rsidR="003358EC" w:rsidRDefault="003358EC" w:rsidP="003358EC">
      <w:pPr>
        <w:pStyle w:val="a6"/>
        <w:numPr>
          <w:ilvl w:val="0"/>
          <w:numId w:val="1"/>
        </w:numPr>
        <w:ind w:leftChars="0"/>
        <w:rPr>
          <w:rFonts w:asciiTheme="minorEastAsia" w:hAnsiTheme="minorEastAsia"/>
          <w:bCs/>
        </w:rPr>
      </w:pPr>
      <w:r w:rsidRPr="003358EC">
        <w:rPr>
          <w:rFonts w:asciiTheme="minorEastAsia" w:hAnsiTheme="minorEastAsia" w:hint="eastAsia"/>
          <w:bCs/>
        </w:rPr>
        <w:t>회사는</w:t>
      </w:r>
      <w:r w:rsidRPr="003358EC">
        <w:rPr>
          <w:rFonts w:asciiTheme="minorEastAsia" w:hAnsiTheme="minorEastAsia"/>
          <w:bCs/>
        </w:rPr>
        <w:t xml:space="preserve"> 투자신탁 등을 설정하고자 할 때 투자신탁계약서 상에 집합투자업자 등이 받는 보수, 계산방법 등을 법 제188조에 따라 기재하여야 한다.</w:t>
      </w:r>
    </w:p>
    <w:p w14:paraId="74F26878" w14:textId="77777777" w:rsidR="004D07AE" w:rsidRDefault="004D07AE">
      <w:pPr>
        <w:rPr>
          <w:rFonts w:asciiTheme="minorEastAsia" w:hAnsiTheme="minorEastAsia"/>
          <w:bCs/>
        </w:rPr>
      </w:pPr>
    </w:p>
    <w:p w14:paraId="129EC66C" w14:textId="77777777" w:rsidR="004D07AE" w:rsidRDefault="00AA0A79">
      <w:pPr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제5조(수수료의 부과기준) </w:t>
      </w:r>
    </w:p>
    <w:p w14:paraId="702ED667" w14:textId="77777777" w:rsidR="004D07AE" w:rsidRDefault="00AA0A79" w:rsidP="003358EC">
      <w:pPr>
        <w:pStyle w:val="a6"/>
        <w:numPr>
          <w:ilvl w:val="0"/>
          <w:numId w:val="8"/>
        </w:numPr>
        <w:ind w:leftChars="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회사는 수수료 부과에 있어서 투자자를 정당한 사유 없이 차별하여서는 아니 된다</w:t>
      </w:r>
    </w:p>
    <w:p w14:paraId="4FE41DF6" w14:textId="77777777" w:rsidR="004D07AE" w:rsidRDefault="00AA0A79" w:rsidP="003358EC">
      <w:pPr>
        <w:pStyle w:val="a6"/>
        <w:numPr>
          <w:ilvl w:val="0"/>
          <w:numId w:val="8"/>
        </w:numPr>
        <w:ind w:leftChars="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수수료는 운용자산의 특성, 회사가 부담하는 위험, 투자자의 투자 규모 등을 고려하여 합리적으로 책정되어야 한다.</w:t>
      </w:r>
    </w:p>
    <w:p w14:paraId="7D5E399C" w14:textId="77777777" w:rsidR="004D07AE" w:rsidRDefault="004D07AE">
      <w:pPr>
        <w:jc w:val="left"/>
        <w:rPr>
          <w:rFonts w:asciiTheme="minorEastAsia" w:hAnsiTheme="minorEastAsia"/>
          <w:bCs/>
          <w:szCs w:val="20"/>
        </w:rPr>
      </w:pPr>
    </w:p>
    <w:p w14:paraId="22D50E4F" w14:textId="77777777" w:rsidR="004D07AE" w:rsidRDefault="00AA0A79">
      <w:pPr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제6조(수수료 체계)</w:t>
      </w:r>
    </w:p>
    <w:p w14:paraId="6292B142" w14:textId="77777777" w:rsidR="004D07AE" w:rsidRDefault="00AA0A79">
      <w:pPr>
        <w:pStyle w:val="a6"/>
        <w:numPr>
          <w:ilvl w:val="0"/>
          <w:numId w:val="2"/>
        </w:numPr>
        <w:ind w:leftChars="0"/>
        <w:jc w:val="left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투자자는 회사와 투자자문 계약 또는 투자일임 계약을 체결함에 있어서 다음 각호의 수수료 지급 방식 중 하나를 택할 수 있으며, 구체적인 수수료율은 &lt;별첨1&gt;에 제시된 회사의 수수료 정책을 기본으로 투자자산의 규모 등을 고려하여 상호 협의하여 결정한다.</w:t>
      </w:r>
    </w:p>
    <w:p w14:paraId="30A71289" w14:textId="77777777" w:rsidR="004D07AE" w:rsidRDefault="00AA0A79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기본수수료만 지급(이하 ‘기본형’이라 한다.)</w:t>
      </w:r>
    </w:p>
    <w:p w14:paraId="147ED848" w14:textId="77777777" w:rsidR="004D07AE" w:rsidRDefault="00AA0A79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기본수수료와 성과수수료를 지급(이하 ‘혼합형’이라 한다.)</w:t>
      </w:r>
    </w:p>
    <w:p w14:paraId="613BF2B5" w14:textId="77777777" w:rsidR="004D07AE" w:rsidRDefault="00AA0A79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성과수수료만 지급(이하 ‘성과형’이라 한다.)</w:t>
      </w:r>
    </w:p>
    <w:p w14:paraId="53DAFE91" w14:textId="77777777" w:rsidR="004D07AE" w:rsidRDefault="00AA0A79">
      <w:pPr>
        <w:pStyle w:val="a6"/>
        <w:numPr>
          <w:ilvl w:val="0"/>
          <w:numId w:val="2"/>
        </w:numPr>
        <w:ind w:leftChars="0"/>
        <w:jc w:val="left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 xml:space="preserve">집합투자업자 운용보수 및 성과보수는 집합투자규약에 기재된 보수율과 방법에 따라 집합투자기구로부터 지급된다. </w:t>
      </w:r>
    </w:p>
    <w:p w14:paraId="1364E156" w14:textId="77777777" w:rsidR="004D07AE" w:rsidRDefault="004D07AE">
      <w:pPr>
        <w:pStyle w:val="ab"/>
        <w:spacing w:line="240" w:lineRule="auto"/>
        <w:ind w:left="0" w:firstLine="0"/>
        <w:rPr>
          <w:rFonts w:asciiTheme="minorEastAsia" w:eastAsiaTheme="minorEastAsia" w:hAnsiTheme="minorEastAsia" w:cstheme="minorBidi"/>
          <w:b/>
          <w:color w:val="auto"/>
          <w:kern w:val="2"/>
          <w:sz w:val="20"/>
          <w:szCs w:val="22"/>
        </w:rPr>
      </w:pPr>
    </w:p>
    <w:p w14:paraId="20255FDC" w14:textId="77777777" w:rsidR="004D07AE" w:rsidRDefault="00AA0A79">
      <w:pPr>
        <w:pStyle w:val="ab"/>
        <w:spacing w:line="276" w:lineRule="auto"/>
        <w:ind w:left="0" w:firstLine="0"/>
        <w:rPr>
          <w:rFonts w:asciiTheme="minorEastAsia" w:eastAsiaTheme="minorEastAsia" w:hAnsiTheme="minorEastAsia" w:cstheme="minorBidi"/>
          <w:b/>
          <w:color w:val="auto"/>
          <w:kern w:val="2"/>
          <w:sz w:val="20"/>
          <w:szCs w:val="22"/>
        </w:rPr>
      </w:pPr>
      <w:r>
        <w:rPr>
          <w:rFonts w:asciiTheme="minorEastAsia" w:eastAsiaTheme="minorEastAsia" w:hAnsiTheme="minorEastAsia" w:cstheme="minorBidi"/>
          <w:b/>
          <w:color w:val="auto"/>
          <w:kern w:val="2"/>
          <w:sz w:val="20"/>
          <w:szCs w:val="22"/>
        </w:rPr>
        <w:t>제7조(성과수수료의 산정기준)</w:t>
      </w:r>
    </w:p>
    <w:p w14:paraId="54DB3690" w14:textId="77777777" w:rsidR="004D07AE" w:rsidRDefault="00AA0A79">
      <w:pPr>
        <w:pStyle w:val="a6"/>
        <w:numPr>
          <w:ilvl w:val="0"/>
          <w:numId w:val="4"/>
        </w:numPr>
        <w:ind w:leftChars="0"/>
        <w:jc w:val="left"/>
        <w:rPr>
          <w:rFonts w:asciiTheme="minorEastAsia" w:hAnsiTheme="minorEastAsia"/>
          <w:bCs/>
        </w:rPr>
      </w:pPr>
      <w:bookmarkStart w:id="1" w:name="_Hlk147333943"/>
      <w:r>
        <w:rPr>
          <w:rFonts w:asciiTheme="minorEastAsia" w:hAnsiTheme="minorEastAsia"/>
          <w:bCs/>
        </w:rPr>
        <w:t>회사는 투자자 보호와 건전한 거래질서를 해할 우려가 없는 경우로서 다음 각 호에 해당하는 경우에만 투자일임 또는 투자자문 성과수수료를 받을 수 있다.</w:t>
      </w:r>
    </w:p>
    <w:p w14:paraId="78C922A0" w14:textId="77777777" w:rsidR="004D07AE" w:rsidRDefault="00AA0A79">
      <w:pPr>
        <w:pStyle w:val="a6"/>
        <w:numPr>
          <w:ilvl w:val="0"/>
          <w:numId w:val="5"/>
        </w:numPr>
        <w:ind w:leftChars="0"/>
        <w:jc w:val="left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성과수수료는 금융위원회가 정하여 고시하는 요건을 갖춘 기준지표 또는 투자자와 합의에 의하여 정한 기준수익률에 연동하여 산정한다.</w:t>
      </w:r>
    </w:p>
    <w:p w14:paraId="57425F0A" w14:textId="77777777" w:rsidR="004D07AE" w:rsidRDefault="00AA0A79">
      <w:pPr>
        <w:pStyle w:val="a6"/>
        <w:numPr>
          <w:ilvl w:val="0"/>
          <w:numId w:val="5"/>
        </w:numPr>
        <w:ind w:leftChars="0"/>
        <w:jc w:val="left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투자일임재산의 운용성과가 기준지표 등의 성과보다 낮은 경우에는 성과보수를 적용하지 아니하는 경우보다 적은 운용보수를 받게 되는 보수체계를 운영한다.</w:t>
      </w:r>
    </w:p>
    <w:p w14:paraId="2844F9D8" w14:textId="77777777" w:rsidR="004D07AE" w:rsidRDefault="00AA0A79">
      <w:pPr>
        <w:pStyle w:val="a6"/>
        <w:numPr>
          <w:ilvl w:val="0"/>
          <w:numId w:val="5"/>
        </w:numPr>
        <w:ind w:leftChars="0"/>
        <w:jc w:val="left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혼합형의 경우 운용성과가 기준지표 등의 성과를 초과하더라도 해당 운용성과가 부(負)의 수익률을 나타낼 경우에는 성과보수를 받지 아니한다.</w:t>
      </w:r>
    </w:p>
    <w:p w14:paraId="7931ACEE" w14:textId="77777777" w:rsidR="004D07AE" w:rsidRDefault="00AA0A79">
      <w:pPr>
        <w:pStyle w:val="a6"/>
        <w:numPr>
          <w:ilvl w:val="0"/>
          <w:numId w:val="4"/>
        </w:numPr>
        <w:ind w:leftChars="0"/>
        <w:jc w:val="left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회사는 투자자 보호와 건전한 거래질서를 해할 우려가 없는 경우로서 법 제86조 제2항에 해당하는 경우에만 집합투자규약에 따라 성과보수를 받을 수 있다.</w:t>
      </w:r>
    </w:p>
    <w:p w14:paraId="01C42206" w14:textId="77777777" w:rsidR="004D07AE" w:rsidRDefault="004D07AE">
      <w:pPr>
        <w:pStyle w:val="ab"/>
        <w:spacing w:line="276" w:lineRule="auto"/>
        <w:ind w:left="127" w:firstLine="0"/>
        <w:rPr>
          <w:rFonts w:asciiTheme="minorEastAsia" w:eastAsiaTheme="minorEastAsia" w:hAnsiTheme="minorEastAsia" w:cstheme="minorBidi"/>
          <w:bCs/>
          <w:color w:val="auto"/>
          <w:kern w:val="2"/>
          <w:sz w:val="20"/>
          <w:szCs w:val="22"/>
        </w:rPr>
      </w:pPr>
    </w:p>
    <w:bookmarkEnd w:id="1"/>
    <w:p w14:paraId="151FE13F" w14:textId="77777777" w:rsidR="004D07AE" w:rsidRDefault="004D07AE">
      <w:pPr>
        <w:rPr>
          <w:rFonts w:asciiTheme="minorEastAsia" w:hAnsiTheme="minorEastAsia"/>
          <w:b/>
        </w:rPr>
      </w:pPr>
    </w:p>
    <w:p w14:paraId="0310E543" w14:textId="77777777" w:rsidR="004D07AE" w:rsidRDefault="00AA0A79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lastRenderedPageBreak/>
        <w:t>제8조(수수료의 부과절차)</w:t>
      </w:r>
    </w:p>
    <w:p w14:paraId="3A37F7BC" w14:textId="77777777" w:rsidR="004D07AE" w:rsidRDefault="00AA0A79">
      <w:pPr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 xml:space="preserve">제4조에 의해 회사가 투자자에게 부과하는 수수료의 부과절차는 아래에 의한다. 다만, 개별투자자와 수수료의 부과절차를 달리 정한 경우에는 개별투자자 별 부과절차에 의한다. </w:t>
      </w:r>
    </w:p>
    <w:p w14:paraId="1027AA37" w14:textId="77777777" w:rsidR="004D07AE" w:rsidRDefault="00AA0A79" w:rsidP="00B64224">
      <w:pPr>
        <w:ind w:leftChars="100" w:left="20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 xml:space="preserve">1. 기본수수료 </w:t>
      </w:r>
    </w:p>
    <w:p w14:paraId="5CB9ABF6" w14:textId="77777777" w:rsidR="004D07AE" w:rsidRDefault="00AA0A79" w:rsidP="00B64224">
      <w:pPr>
        <w:ind w:leftChars="100" w:left="20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 xml:space="preserve">회사는 투자일임계약 체결일에 기본수수료를 부과하고, 투자자는 계약체결일 당일에 기본수수료를 회사에 지급하여야 한다. </w:t>
      </w:r>
    </w:p>
    <w:p w14:paraId="5A06EE1B" w14:textId="77777777" w:rsidR="004D07AE" w:rsidRDefault="00AA0A79" w:rsidP="00B64224">
      <w:pPr>
        <w:ind w:leftChars="100" w:left="20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 xml:space="preserve">2. 성과수수료 </w:t>
      </w:r>
    </w:p>
    <w:p w14:paraId="56E977AB" w14:textId="77777777" w:rsidR="004D07AE" w:rsidRDefault="00AA0A79" w:rsidP="00B64224">
      <w:pPr>
        <w:ind w:leftChars="100" w:left="20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 xml:space="preserve">회사는 계약만료일 또는 해지일에 투자자와 사전에 약정된 성과수수료 부과기준을 충족한 경우 성과수수료를 부과하고, 투자자는 계약만료일 또는 해지일로부터 3일 이내에 성과수수료를 회사에 지급하여야 한다. </w:t>
      </w:r>
    </w:p>
    <w:p w14:paraId="55A0D09C" w14:textId="77777777" w:rsidR="004D07AE" w:rsidRDefault="00AA0A79" w:rsidP="00B64224">
      <w:pPr>
        <w:ind w:leftChars="100" w:left="20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 xml:space="preserve">3. 회사는 투자일임계약이 계약기간 중 계약이 중도해지 또는 계약 자산 일부가 해지되는 경우 제1호의 기본수수료 선납금액 중 미경과일수에 해당하는 금액을 일할계산하여 산출된 금액을 7일 이내에 투자자에게 환불하여야 한다. </w:t>
      </w:r>
    </w:p>
    <w:p w14:paraId="156FC352" w14:textId="77777777" w:rsidR="004D07AE" w:rsidRDefault="00AA0A79" w:rsidP="00B64224">
      <w:pPr>
        <w:ind w:leftChars="100" w:left="20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4. 투자자는 법 제59조 제2항에 의해 계약서류를 교부 받은 날로부터 7일 이내에 계약의 해제를 할 수 있으며, 계약이 해제되는 경우 회사는 기본수수료 선납금액 전액을 즉시 투자자에게 환불하여야 한다.</w:t>
      </w:r>
    </w:p>
    <w:p w14:paraId="7BA4E1AC" w14:textId="77777777" w:rsidR="004D07AE" w:rsidRDefault="004D07AE">
      <w:pPr>
        <w:rPr>
          <w:rFonts w:asciiTheme="minorEastAsia" w:hAnsiTheme="minorEastAsia"/>
          <w:bCs/>
        </w:rPr>
      </w:pPr>
    </w:p>
    <w:p w14:paraId="7F728F39" w14:textId="77777777" w:rsidR="004D07AE" w:rsidRDefault="00AA0A79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  <w:b/>
          <w:bCs/>
        </w:rPr>
        <w:t>제9조(수수료의 고지)</w:t>
      </w:r>
    </w:p>
    <w:p w14:paraId="68ED74C4" w14:textId="77777777" w:rsidR="004D07AE" w:rsidRDefault="00AA0A7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회사는 법 제 99조 1항 및 동법 시행령 100조에 따라 일반투자자에게 제공하는 투자일임보고서에 수수료에 관한 사항이 포함되도록 하여야 한다.</w:t>
      </w:r>
    </w:p>
    <w:p w14:paraId="78A5752A" w14:textId="77777777" w:rsidR="004D07AE" w:rsidRDefault="004D07AE">
      <w:pPr>
        <w:rPr>
          <w:rFonts w:asciiTheme="minorEastAsia" w:hAnsiTheme="minorEastAsia"/>
        </w:rPr>
      </w:pPr>
    </w:p>
    <w:p w14:paraId="7E8CD706" w14:textId="77777777" w:rsidR="004D07AE" w:rsidRDefault="00AA0A79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제10조(공시 및 통보)</w:t>
      </w:r>
    </w:p>
    <w:p w14:paraId="7C21EA4D" w14:textId="77777777" w:rsidR="004D07AE" w:rsidRDefault="00AA0A7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회사는 법 제 58조 1항에 따라 이 기준을 회사의 인터넷 홈페이지 등을 이용하여 공시하여야 하며, 법 제 58조 3항에 의거 이 기준을 금융투자협회에 통보하여야 한다.</w:t>
      </w:r>
    </w:p>
    <w:p w14:paraId="3C26862E" w14:textId="77777777" w:rsidR="004D07AE" w:rsidRDefault="004D07AE">
      <w:pPr>
        <w:rPr>
          <w:rFonts w:asciiTheme="minorEastAsia" w:hAnsiTheme="minorEastAsia"/>
        </w:rPr>
      </w:pPr>
    </w:p>
    <w:p w14:paraId="2CF67671" w14:textId="77777777" w:rsidR="004D07AE" w:rsidRDefault="00AA0A79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제11조(투자 광고)</w:t>
      </w:r>
    </w:p>
    <w:p w14:paraId="062A9DD4" w14:textId="77777777" w:rsidR="004D07AE" w:rsidRDefault="00AA0A79">
      <w:pPr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회사의 투자광고를 하는 경우에는 법 제57조 제2항 및 법 시행령 제60조 제1항에 의거 이 기준에서 정하는 수수료에 관한 사항이 포함되도록 하여야 한다.</w:t>
      </w:r>
    </w:p>
    <w:p w14:paraId="2BF57A26" w14:textId="77777777" w:rsidR="004D07AE" w:rsidRDefault="004D07AE">
      <w:pPr>
        <w:rPr>
          <w:rFonts w:asciiTheme="minorEastAsia" w:hAnsiTheme="minorEastAsia"/>
          <w:bCs/>
        </w:rPr>
      </w:pPr>
    </w:p>
    <w:p w14:paraId="035BDD20" w14:textId="77777777" w:rsidR="004D07AE" w:rsidRDefault="00AA0A79">
      <w:pPr>
        <w:rPr>
          <w:rFonts w:asciiTheme="minorEastAsia" w:hAnsiTheme="minorEastAsia"/>
        </w:rPr>
      </w:pPr>
      <w:r>
        <w:rPr>
          <w:rFonts w:asciiTheme="minorEastAsia" w:hAnsiTheme="minorEastAsia"/>
          <w:b/>
        </w:rPr>
        <w:t>제12조(경과규정)</w:t>
      </w:r>
    </w:p>
    <w:p w14:paraId="763EB584" w14:textId="77777777" w:rsidR="004D07AE" w:rsidRDefault="00AA0A7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본 수수료 부과기준 및 절차의 시행 전에 결정된 수수료에 관한 사항은 본 기준에 따라 처리된 것으로 한다.</w:t>
      </w:r>
    </w:p>
    <w:p w14:paraId="5EC67F30" w14:textId="77777777" w:rsidR="004D07AE" w:rsidRDefault="004D07AE">
      <w:pPr>
        <w:rPr>
          <w:rFonts w:asciiTheme="minorEastAsia" w:hAnsiTheme="minorEastAsia"/>
        </w:rPr>
      </w:pPr>
    </w:p>
    <w:p w14:paraId="000A468F" w14:textId="77777777" w:rsidR="004D07AE" w:rsidRDefault="00AA0A79">
      <w:pPr>
        <w:rPr>
          <w:rFonts w:asciiTheme="minorEastAsia" w:hAnsiTheme="minorEastAsia"/>
        </w:rPr>
      </w:pPr>
      <w:r>
        <w:rPr>
          <w:rFonts w:asciiTheme="minorEastAsia" w:hAnsiTheme="minorEastAsia"/>
          <w:b/>
        </w:rPr>
        <w:t>제13조(기준의 제정 및 개정)</w:t>
      </w:r>
    </w:p>
    <w:p w14:paraId="25418191" w14:textId="77777777" w:rsidR="004D07AE" w:rsidRDefault="00AA0A7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이 기준은 이사회의 결정으로 제정 및 개정된다.</w:t>
      </w:r>
    </w:p>
    <w:p w14:paraId="5D145232" w14:textId="77777777" w:rsidR="004D07AE" w:rsidRDefault="004D07AE">
      <w:pPr>
        <w:rPr>
          <w:rFonts w:asciiTheme="minorEastAsia" w:hAnsiTheme="minorEastAsia"/>
        </w:rPr>
      </w:pPr>
    </w:p>
    <w:p w14:paraId="2FD55400" w14:textId="77777777" w:rsidR="004D07AE" w:rsidRDefault="004D07AE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96" w:lineRule="auto"/>
        <w:rPr>
          <w:rFonts w:asciiTheme="minorEastAsia" w:hAnsiTheme="minorEastAsia"/>
          <w:b/>
          <w:bCs/>
        </w:rPr>
      </w:pPr>
    </w:p>
    <w:p w14:paraId="1EEAA2CF" w14:textId="77777777" w:rsidR="00B64224" w:rsidRDefault="00B64224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96" w:lineRule="auto"/>
        <w:rPr>
          <w:rFonts w:asciiTheme="minorEastAsia" w:hAnsiTheme="minorEastAsia"/>
          <w:b/>
          <w:bCs/>
        </w:rPr>
      </w:pPr>
    </w:p>
    <w:p w14:paraId="37640BEF" w14:textId="77777777" w:rsidR="003358EC" w:rsidRDefault="003358EC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96" w:lineRule="auto"/>
        <w:rPr>
          <w:rFonts w:asciiTheme="minorEastAsia" w:hAnsiTheme="minorEastAsia"/>
          <w:b/>
          <w:bCs/>
        </w:rPr>
      </w:pPr>
    </w:p>
    <w:p w14:paraId="2604445E" w14:textId="77777777" w:rsidR="004D07AE" w:rsidRDefault="00AA0A79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96" w:lineRule="auto"/>
        <w:jc w:val="center"/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  <w:b/>
          <w:bCs/>
        </w:rPr>
        <w:lastRenderedPageBreak/>
        <w:t>부  칙</w:t>
      </w:r>
    </w:p>
    <w:p w14:paraId="0CBF7EC0" w14:textId="77777777" w:rsidR="004D07AE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본 준칙은 2011년 9월 15일부터 시행한다.</w:t>
      </w:r>
    </w:p>
    <w:p w14:paraId="296E52DC" w14:textId="77777777" w:rsidR="004D07AE" w:rsidRDefault="004D07AE">
      <w:pPr>
        <w:widowControl/>
        <w:wordWrap/>
        <w:autoSpaceDE/>
        <w:autoSpaceDN/>
        <w:jc w:val="center"/>
        <w:rPr>
          <w:rFonts w:asciiTheme="minorEastAsia" w:hAnsiTheme="minorEastAsia"/>
        </w:rPr>
      </w:pPr>
    </w:p>
    <w:p w14:paraId="086D83DD" w14:textId="77777777" w:rsidR="004D07AE" w:rsidRDefault="00AA0A79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96" w:lineRule="auto"/>
        <w:jc w:val="center"/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  <w:b/>
          <w:bCs/>
        </w:rPr>
        <w:t>부  칙</w:t>
      </w:r>
    </w:p>
    <w:p w14:paraId="6C6862C4" w14:textId="77777777" w:rsidR="004D07AE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본 준칙은 2013년 1월 10일부터 시행한다.</w:t>
      </w:r>
    </w:p>
    <w:p w14:paraId="7BA1DCDB" w14:textId="77777777" w:rsidR="004D07AE" w:rsidRDefault="004D07AE">
      <w:pPr>
        <w:widowControl/>
        <w:wordWrap/>
        <w:autoSpaceDE/>
        <w:autoSpaceDN/>
        <w:jc w:val="center"/>
        <w:rPr>
          <w:rFonts w:asciiTheme="minorEastAsia" w:hAnsiTheme="minorEastAsia"/>
        </w:rPr>
      </w:pPr>
    </w:p>
    <w:p w14:paraId="0BA2ADE1" w14:textId="77777777" w:rsidR="004D07AE" w:rsidRDefault="00AA0A79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96" w:lineRule="auto"/>
        <w:jc w:val="center"/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  <w:b/>
          <w:bCs/>
        </w:rPr>
        <w:t>부  칙</w:t>
      </w:r>
    </w:p>
    <w:p w14:paraId="7AF54F00" w14:textId="77777777" w:rsidR="004D07AE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본 준칙은 2017년 1월 9일부터 시행한다.</w:t>
      </w:r>
    </w:p>
    <w:p w14:paraId="2FE4B108" w14:textId="77777777" w:rsidR="004D07AE" w:rsidRDefault="004D07AE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73684776" w14:textId="77777777" w:rsidR="004D07AE" w:rsidRDefault="00AA0A79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96" w:lineRule="auto"/>
        <w:jc w:val="center"/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  <w:b/>
          <w:bCs/>
        </w:rPr>
        <w:t>부  칙</w:t>
      </w:r>
    </w:p>
    <w:p w14:paraId="028A659E" w14:textId="42B98DBA" w:rsidR="004D07AE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본 준칙은 2024년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 xml:space="preserve">월 </w:t>
      </w:r>
      <w:r>
        <w:rPr>
          <w:rFonts w:asciiTheme="minorEastAsia" w:hAnsiTheme="minorEastAsia" w:hint="eastAsia"/>
        </w:rPr>
        <w:t>21</w:t>
      </w:r>
      <w:r>
        <w:rPr>
          <w:rFonts w:asciiTheme="minorEastAsia" w:hAnsiTheme="minorEastAsia"/>
        </w:rPr>
        <w:t>일부터 시행한다.</w:t>
      </w:r>
    </w:p>
    <w:p w14:paraId="2CCB9A67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09738825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547E7E6A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756D3AA1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16322B0D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26D496B8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51D3D543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6A8A1C72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696988D1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2EC18D88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2F804EA7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4A5F99F9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0F15D256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6228C169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5C8AE40F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7F236519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3DED9ABB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782CE3D1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5731313D" w14:textId="77777777" w:rsidR="00B64224" w:rsidRDefault="00B64224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0F4AA57B" w14:textId="77777777" w:rsidR="00B64224" w:rsidRDefault="00B64224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4D7BD653" w14:textId="77777777" w:rsidR="00B64224" w:rsidRDefault="00B64224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69CDED13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371B4E35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2453C396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0BB854DF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47073E9F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7F0554C2" w14:textId="77777777" w:rsidR="00AA0A79" w:rsidRDefault="00AA0A7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sectPr w:rsidR="00AA0A79">
      <w:headerReference w:type="default" r:id="rId7"/>
      <w:pgSz w:w="11906" w:h="16838"/>
      <w:pgMar w:top="1701" w:right="1304" w:bottom="1440" w:left="124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C1E65" w14:textId="77777777" w:rsidR="00DF529A" w:rsidRDefault="00DF529A">
      <w:r>
        <w:separator/>
      </w:r>
    </w:p>
  </w:endnote>
  <w:endnote w:type="continuationSeparator" w:id="0">
    <w:p w14:paraId="41CF5FB4" w14:textId="77777777" w:rsidR="00DF529A" w:rsidRDefault="00DF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charset w:val="00"/>
    <w:family w:val="auto"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0556A" w14:textId="77777777" w:rsidR="00DF529A" w:rsidRDefault="00DF529A">
      <w:r>
        <w:separator/>
      </w:r>
    </w:p>
  </w:footnote>
  <w:footnote w:type="continuationSeparator" w:id="0">
    <w:p w14:paraId="09DFEA7C" w14:textId="77777777" w:rsidR="00DF529A" w:rsidRDefault="00DF5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284BD" w14:textId="77777777" w:rsidR="004D07AE" w:rsidRDefault="00AA0A79">
    <w:pPr>
      <w:pStyle w:val="a4"/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4534767E" wp14:editId="08B29831">
          <wp:simplePos x="0" y="0"/>
          <wp:positionH relativeFrom="column">
            <wp:posOffset>-647700</wp:posOffset>
          </wp:positionH>
          <wp:positionV relativeFrom="paragraph">
            <wp:posOffset>-264160</wp:posOffset>
          </wp:positionV>
          <wp:extent cx="1276350" cy="515716"/>
          <wp:effectExtent l="0" t="0" r="0" b="0"/>
          <wp:wrapTight wrapText="bothSides">
            <wp:wrapPolygon edited="0">
              <wp:start x="0" y="0"/>
              <wp:lineTo x="0" y="20749"/>
              <wp:lineTo x="21278" y="20749"/>
              <wp:lineTo x="21278" y="0"/>
              <wp:lineTo x="0" y="0"/>
            </wp:wrapPolygon>
          </wp:wrapTight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515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C6941"/>
    <w:multiLevelType w:val="hybridMultilevel"/>
    <w:tmpl w:val="2BA2647E"/>
    <w:lvl w:ilvl="0" w:tplc="FFFFFFFF">
      <w:start w:val="1"/>
      <w:numFmt w:val="decimal"/>
      <w:lvlText w:val="%1."/>
      <w:lvlJc w:val="left"/>
      <w:pPr>
        <w:ind w:left="694" w:hanging="127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1574" w:hanging="440"/>
      </w:pPr>
    </w:lvl>
    <w:lvl w:ilvl="2" w:tplc="FFFFFFFF">
      <w:start w:val="1"/>
      <w:numFmt w:val="lowerRoman"/>
      <w:lvlText w:val="%3."/>
      <w:lvlJc w:val="right"/>
      <w:pPr>
        <w:ind w:left="2014" w:hanging="440"/>
      </w:pPr>
    </w:lvl>
    <w:lvl w:ilvl="3" w:tplc="FFFFFFFF" w:tentative="1">
      <w:start w:val="1"/>
      <w:numFmt w:val="decimal"/>
      <w:lvlText w:val="%4."/>
      <w:lvlJc w:val="left"/>
      <w:pPr>
        <w:ind w:left="2454" w:hanging="440"/>
      </w:pPr>
    </w:lvl>
    <w:lvl w:ilvl="4" w:tplc="FFFFFFFF" w:tentative="1">
      <w:start w:val="1"/>
      <w:numFmt w:val="upperLetter"/>
      <w:lvlText w:val="%5."/>
      <w:lvlJc w:val="left"/>
      <w:pPr>
        <w:ind w:left="2894" w:hanging="440"/>
      </w:pPr>
    </w:lvl>
    <w:lvl w:ilvl="5" w:tplc="FFFFFFFF" w:tentative="1">
      <w:start w:val="1"/>
      <w:numFmt w:val="lowerRoman"/>
      <w:lvlText w:val="%6."/>
      <w:lvlJc w:val="right"/>
      <w:pPr>
        <w:ind w:left="3334" w:hanging="440"/>
      </w:pPr>
    </w:lvl>
    <w:lvl w:ilvl="6" w:tplc="FFFFFFFF" w:tentative="1">
      <w:start w:val="1"/>
      <w:numFmt w:val="decimal"/>
      <w:lvlText w:val="%7."/>
      <w:lvlJc w:val="left"/>
      <w:pPr>
        <w:ind w:left="3774" w:hanging="440"/>
      </w:pPr>
    </w:lvl>
    <w:lvl w:ilvl="7" w:tplc="FFFFFFFF" w:tentative="1">
      <w:start w:val="1"/>
      <w:numFmt w:val="upperLetter"/>
      <w:lvlText w:val="%8."/>
      <w:lvlJc w:val="left"/>
      <w:pPr>
        <w:ind w:left="4214" w:hanging="440"/>
      </w:pPr>
    </w:lvl>
    <w:lvl w:ilvl="8" w:tplc="FFFFFFFF" w:tentative="1">
      <w:start w:val="1"/>
      <w:numFmt w:val="lowerRoman"/>
      <w:lvlText w:val="%9."/>
      <w:lvlJc w:val="right"/>
      <w:pPr>
        <w:ind w:left="4654" w:hanging="440"/>
      </w:pPr>
    </w:lvl>
  </w:abstractNum>
  <w:abstractNum w:abstractNumId="1" w15:restartNumberingAfterBreak="0">
    <w:nsid w:val="160D27F6"/>
    <w:multiLevelType w:val="hybridMultilevel"/>
    <w:tmpl w:val="B4804690"/>
    <w:lvl w:ilvl="0" w:tplc="3C40E7FA">
      <w:start w:val="1"/>
      <w:numFmt w:val="decimalEnclosedCircle"/>
      <w:lvlText w:val="%1"/>
      <w:lvlJc w:val="right"/>
      <w:pPr>
        <w:ind w:left="567" w:hanging="127"/>
      </w:pPr>
      <w:rPr>
        <w:rFonts w:hint="eastAsia"/>
      </w:rPr>
    </w:lvl>
    <w:lvl w:ilvl="1" w:tplc="5EBA6714">
      <w:start w:val="1"/>
      <w:numFmt w:val="decimal"/>
      <w:lvlText w:val="%2."/>
      <w:lvlJc w:val="left"/>
      <w:pPr>
        <w:ind w:left="12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19381E64"/>
    <w:multiLevelType w:val="hybridMultilevel"/>
    <w:tmpl w:val="B852D062"/>
    <w:lvl w:ilvl="0" w:tplc="FFFFFFFF">
      <w:start w:val="1"/>
      <w:numFmt w:val="decimalEnclosedCircle"/>
      <w:lvlText w:val="%1"/>
      <w:lvlJc w:val="right"/>
      <w:pPr>
        <w:ind w:left="567" w:hanging="127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322D3165"/>
    <w:multiLevelType w:val="hybridMultilevel"/>
    <w:tmpl w:val="B852D062"/>
    <w:lvl w:ilvl="0" w:tplc="3C40E7FA">
      <w:start w:val="1"/>
      <w:numFmt w:val="decimalEnclosedCircle"/>
      <w:lvlText w:val="%1"/>
      <w:lvlJc w:val="right"/>
      <w:pPr>
        <w:ind w:left="567" w:hanging="127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32343424"/>
    <w:multiLevelType w:val="hybridMultilevel"/>
    <w:tmpl w:val="B4804690"/>
    <w:lvl w:ilvl="0" w:tplc="FFFFFFFF">
      <w:start w:val="1"/>
      <w:numFmt w:val="decimalEnclosedCircle"/>
      <w:lvlText w:val="%1"/>
      <w:lvlJc w:val="right"/>
      <w:pPr>
        <w:ind w:left="567" w:hanging="127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1270" w:hanging="3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5A7A4CF3"/>
    <w:multiLevelType w:val="hybridMultilevel"/>
    <w:tmpl w:val="B5CE1DC2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AC8731F"/>
    <w:multiLevelType w:val="hybridMultilevel"/>
    <w:tmpl w:val="7374894A"/>
    <w:lvl w:ilvl="0" w:tplc="D67CD356">
      <w:start w:val="1"/>
      <w:numFmt w:val="decimalEnclosedCircle"/>
      <w:lvlText w:val="%1"/>
      <w:lvlJc w:val="right"/>
      <w:pPr>
        <w:ind w:left="44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F1B1D3C"/>
    <w:multiLevelType w:val="hybridMultilevel"/>
    <w:tmpl w:val="2BA2647E"/>
    <w:lvl w:ilvl="0" w:tplc="1702F336">
      <w:start w:val="1"/>
      <w:numFmt w:val="decimal"/>
      <w:lvlText w:val="%1."/>
      <w:lvlJc w:val="left"/>
      <w:pPr>
        <w:ind w:left="694" w:hanging="127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574" w:hanging="440"/>
      </w:pPr>
    </w:lvl>
    <w:lvl w:ilvl="2" w:tplc="FFFFFFFF">
      <w:start w:val="1"/>
      <w:numFmt w:val="lowerRoman"/>
      <w:lvlText w:val="%3."/>
      <w:lvlJc w:val="right"/>
      <w:pPr>
        <w:ind w:left="2014" w:hanging="440"/>
      </w:pPr>
    </w:lvl>
    <w:lvl w:ilvl="3" w:tplc="FFFFFFFF" w:tentative="1">
      <w:start w:val="1"/>
      <w:numFmt w:val="decimal"/>
      <w:lvlText w:val="%4."/>
      <w:lvlJc w:val="left"/>
      <w:pPr>
        <w:ind w:left="2454" w:hanging="440"/>
      </w:pPr>
    </w:lvl>
    <w:lvl w:ilvl="4" w:tplc="FFFFFFFF" w:tentative="1">
      <w:start w:val="1"/>
      <w:numFmt w:val="upperLetter"/>
      <w:lvlText w:val="%5."/>
      <w:lvlJc w:val="left"/>
      <w:pPr>
        <w:ind w:left="2894" w:hanging="440"/>
      </w:pPr>
    </w:lvl>
    <w:lvl w:ilvl="5" w:tplc="FFFFFFFF" w:tentative="1">
      <w:start w:val="1"/>
      <w:numFmt w:val="lowerRoman"/>
      <w:lvlText w:val="%6."/>
      <w:lvlJc w:val="right"/>
      <w:pPr>
        <w:ind w:left="3334" w:hanging="440"/>
      </w:pPr>
    </w:lvl>
    <w:lvl w:ilvl="6" w:tplc="FFFFFFFF" w:tentative="1">
      <w:start w:val="1"/>
      <w:numFmt w:val="decimal"/>
      <w:lvlText w:val="%7."/>
      <w:lvlJc w:val="left"/>
      <w:pPr>
        <w:ind w:left="3774" w:hanging="440"/>
      </w:pPr>
    </w:lvl>
    <w:lvl w:ilvl="7" w:tplc="FFFFFFFF" w:tentative="1">
      <w:start w:val="1"/>
      <w:numFmt w:val="upperLetter"/>
      <w:lvlText w:val="%8."/>
      <w:lvlJc w:val="left"/>
      <w:pPr>
        <w:ind w:left="4214" w:hanging="440"/>
      </w:pPr>
    </w:lvl>
    <w:lvl w:ilvl="8" w:tplc="FFFFFFFF" w:tentative="1">
      <w:start w:val="1"/>
      <w:numFmt w:val="lowerRoman"/>
      <w:lvlText w:val="%9."/>
      <w:lvlJc w:val="right"/>
      <w:pPr>
        <w:ind w:left="4654" w:hanging="440"/>
      </w:pPr>
    </w:lvl>
  </w:abstractNum>
  <w:num w:numId="1" w16cid:durableId="254947119">
    <w:abstractNumId w:val="3"/>
  </w:num>
  <w:num w:numId="2" w16cid:durableId="865365006">
    <w:abstractNumId w:val="1"/>
  </w:num>
  <w:num w:numId="3" w16cid:durableId="1159926910">
    <w:abstractNumId w:val="7"/>
  </w:num>
  <w:num w:numId="4" w16cid:durableId="345130818">
    <w:abstractNumId w:val="4"/>
  </w:num>
  <w:num w:numId="5" w16cid:durableId="1252277963">
    <w:abstractNumId w:val="0"/>
  </w:num>
  <w:num w:numId="6" w16cid:durableId="392899498">
    <w:abstractNumId w:val="6"/>
  </w:num>
  <w:num w:numId="7" w16cid:durableId="1226336315">
    <w:abstractNumId w:val="5"/>
  </w:num>
  <w:num w:numId="8" w16cid:durableId="357125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AE"/>
    <w:rsid w:val="00021C96"/>
    <w:rsid w:val="0023487B"/>
    <w:rsid w:val="003358EC"/>
    <w:rsid w:val="003468C4"/>
    <w:rsid w:val="004D07AE"/>
    <w:rsid w:val="006726A6"/>
    <w:rsid w:val="008169C9"/>
    <w:rsid w:val="00AA0A79"/>
    <w:rsid w:val="00B64224"/>
    <w:rsid w:val="00B7376A"/>
    <w:rsid w:val="00BE4A25"/>
    <w:rsid w:val="00C12467"/>
    <w:rsid w:val="00D64D10"/>
    <w:rsid w:val="00DF529A"/>
    <w:rsid w:val="00E13ECE"/>
    <w:rsid w:val="00EE2F3D"/>
    <w:rsid w:val="00FC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28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List Paragraph"/>
    <w:basedOn w:val="a"/>
    <w:uiPriority w:val="34"/>
    <w:qFormat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9">
    <w:name w:val="Placeholder Text"/>
    <w:basedOn w:val="a0"/>
    <w:uiPriority w:val="99"/>
    <w:semiHidden/>
    <w:rPr>
      <w:color w:val="808080"/>
    </w:rPr>
  </w:style>
  <w:style w:type="paragraph" w:customStyle="1" w:styleId="aa">
    <w:name w:val="항본문"/>
    <w:basedOn w:val="a"/>
    <w:pPr>
      <w:snapToGrid w:val="0"/>
      <w:spacing w:line="384" w:lineRule="auto"/>
      <w:ind w:left="600"/>
      <w:textAlignment w:val="baseline"/>
    </w:pPr>
    <w:rPr>
      <w:rFonts w:ascii="한양신명조" w:eastAsia="굴림" w:hAnsi="굴림" w:cs="굴림"/>
      <w:color w:val="000000"/>
      <w:kern w:val="0"/>
      <w:sz w:val="26"/>
      <w:szCs w:val="26"/>
    </w:rPr>
  </w:style>
  <w:style w:type="paragraph" w:customStyle="1" w:styleId="ab">
    <w:name w:val="조"/>
    <w:basedOn w:val="a"/>
    <w:pPr>
      <w:snapToGrid w:val="0"/>
      <w:spacing w:line="432" w:lineRule="auto"/>
      <w:ind w:left="1100" w:hanging="400"/>
      <w:textAlignment w:val="baseline"/>
    </w:pPr>
    <w:rPr>
      <w:rFonts w:ascii="HY헤드라인M" w:eastAsia="굴림" w:hAnsi="굴림" w:cs="굴림"/>
      <w:color w:val="000000"/>
      <w:kern w:val="0"/>
      <w:sz w:val="26"/>
      <w:szCs w:val="26"/>
    </w:rPr>
  </w:style>
  <w:style w:type="table" w:customStyle="1" w:styleId="1">
    <w:name w:val="스타일1"/>
    <w:basedOn w:val="a1"/>
    <w:uiPriority w:val="99"/>
    <w:tblPr>
      <w:tblBorders>
        <w:top w:val="double" w:sz="4" w:space="0" w:color="548DD4" w:themeColor="text2" w:themeTint="99"/>
        <w:bottom w:val="double" w:sz="4" w:space="0" w:color="548DD4" w:themeColor="text2" w:themeTint="99"/>
      </w:tblBorders>
    </w:tblPr>
    <w:tcPr>
      <w:shd w:val="clear" w:color="auto" w:fill="auto"/>
    </w:tcPr>
  </w:style>
  <w:style w:type="paragraph" w:styleId="ac">
    <w:name w:val="No Spacing"/>
    <w:uiPriority w:val="1"/>
    <w:qFormat/>
    <w:pPr>
      <w:widowControl w:val="0"/>
      <w:wordWrap w:val="0"/>
      <w:autoSpaceDE w:val="0"/>
      <w:autoSpaceDN w:val="0"/>
      <w:jc w:val="both"/>
    </w:pPr>
  </w:style>
  <w:style w:type="paragraph" w:customStyle="1" w:styleId="ad">
    <w:name w:val="호."/>
    <w:basedOn w:val="a"/>
    <w:pPr>
      <w:snapToGrid w:val="0"/>
      <w:spacing w:line="384" w:lineRule="auto"/>
      <w:ind w:left="1280" w:hanging="340"/>
      <w:textAlignment w:val="baseline"/>
    </w:pPr>
    <w:rPr>
      <w:rFonts w:ascii="한양신명조" w:eastAsia="굴림" w:hAnsi="굴림" w:cs="굴림"/>
      <w:color w:val="000000"/>
      <w:kern w:val="0"/>
      <w:sz w:val="24"/>
      <w:szCs w:val="24"/>
    </w:rPr>
  </w:style>
  <w:style w:type="paragraph" w:customStyle="1" w:styleId="ae">
    <w:name w:val="표내용"/>
    <w:basedOn w:val="a"/>
    <w:pPr>
      <w:snapToGrid w:val="0"/>
      <w:spacing w:line="260" w:lineRule="exact"/>
      <w:ind w:left="100" w:right="100"/>
      <w:textAlignment w:val="baseline"/>
    </w:pPr>
    <w:rPr>
      <w:rFonts w:ascii="한양신명조" w:eastAsia="굴림" w:hAnsi="굴림" w:cs="굴림"/>
      <w:color w:val="000000"/>
      <w:spacing w:val="-16"/>
      <w:w w:val="90"/>
      <w:kern w:val="0"/>
      <w:sz w:val="17"/>
      <w:szCs w:val="17"/>
    </w:rPr>
  </w:style>
  <w:style w:type="character" w:styleId="af">
    <w:name w:val="lin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545</Words>
  <Characters>3110</Characters>
  <Application>Microsoft Office Word</Application>
  <DocSecurity>0</DocSecurity>
  <Lines>25</Lines>
  <Paragraphs>7</Paragraphs>
  <ScaleCrop>false</ScaleCrop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2023-10-17T01:56:00Z</cp:lastPrinted>
  <dcterms:created xsi:type="dcterms:W3CDTF">2024-05-16T05:31:00Z</dcterms:created>
  <dcterms:modified xsi:type="dcterms:W3CDTF">2024-05-22T07:07:00Z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310928462</vt:i4>
  </property>
  <property fmtid="{D5CDD505-2E9C-101B-9397-08002B2CF9AE}" pid="3" name="ContentTypeId">
    <vt:lpwstr>0x0101008C5ACD434C50F240B5C8535D4ADD59FB</vt:lpwstr>
  </property>
</Properties>
</file>